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67D7" w14:textId="6C0E4A9A" w:rsidR="003E20FF" w:rsidRDefault="00A23DD4" w:rsidP="00495891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>
        <w:rPr>
          <w:b/>
          <w:sz w:val="36"/>
          <w:szCs w:val="36"/>
        </w:rPr>
        <w:t xml:space="preserve">TIME Norwegian Cruise Lines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202</w:t>
      </w:r>
      <w:r w:rsidR="005278B6">
        <w:rPr>
          <w:b/>
          <w:sz w:val="36"/>
          <w:szCs w:val="36"/>
        </w:rPr>
        <w:t>4</w:t>
      </w:r>
      <w:r w:rsidR="00EF7A96">
        <w:rPr>
          <w:noProof/>
        </w:rPr>
        <w:t xml:space="preserve">  </w:t>
      </w:r>
    </w:p>
    <w:p w14:paraId="2126683D" w14:textId="29DBE7C9" w:rsidR="003E20FF" w:rsidRPr="003E20FF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b/>
          <w:bCs/>
          <w:noProof/>
        </w:rPr>
        <w:t>(</w:t>
      </w:r>
      <w:r w:rsidRPr="003E20FF">
        <w:rPr>
          <w:b/>
          <w:bCs/>
          <w:noProof/>
        </w:rPr>
        <w:t xml:space="preserve">This  scholarship  has been  made available  through the  generous  support  of  </w:t>
      </w:r>
      <w:r w:rsidR="00A23DD4">
        <w:rPr>
          <w:b/>
          <w:bCs/>
          <w:noProof/>
        </w:rPr>
        <w:t>NCL</w:t>
      </w:r>
    </w:p>
    <w:p w14:paraId="1BE5890F" w14:textId="77777777" w:rsidR="00B50B13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 w:rsidRPr="003E20FF">
        <w:rPr>
          <w:b/>
          <w:bCs/>
          <w:noProof/>
        </w:rPr>
        <w:t>who believe in investing in the future of the industry</w:t>
      </w:r>
      <w:r w:rsidR="00A60D6E">
        <w:rPr>
          <w:b/>
          <w:bCs/>
          <w:noProof/>
        </w:rPr>
        <w:t xml:space="preserve"> and is</w:t>
      </w:r>
    </w:p>
    <w:p w14:paraId="0B5209EE" w14:textId="38D06C68" w:rsidR="00A23DD4" w:rsidRDefault="00B50B13" w:rsidP="00B50B13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b/>
          <w:bCs/>
          <w:noProof/>
        </w:rPr>
        <w:t>T</w:t>
      </w:r>
      <w:r w:rsidR="00A60D6E">
        <w:rPr>
          <w:b/>
          <w:bCs/>
          <w:noProof/>
        </w:rPr>
        <w:t>argeted at</w:t>
      </w:r>
      <w:r w:rsidR="003C0E6E">
        <w:rPr>
          <w:b/>
          <w:bCs/>
          <w:noProof/>
        </w:rPr>
        <w:t xml:space="preserve">: </w:t>
      </w:r>
      <w:r w:rsidR="00A60D6E">
        <w:rPr>
          <w:b/>
          <w:bCs/>
          <w:noProof/>
        </w:rPr>
        <w:t xml:space="preserve"> Owner Managers, Product Specialists, </w:t>
      </w:r>
      <w:r>
        <w:rPr>
          <w:b/>
          <w:bCs/>
          <w:noProof/>
        </w:rPr>
        <w:t>Managers or Senior Consultants</w:t>
      </w:r>
      <w:r w:rsidR="00EF7A96" w:rsidRPr="003E20FF">
        <w:rPr>
          <w:b/>
          <w:bCs/>
          <w:noProof/>
        </w:rPr>
        <w:t xml:space="preserve">           </w:t>
      </w:r>
    </w:p>
    <w:p w14:paraId="397699BC" w14:textId="2A1DD30A" w:rsidR="00EF7A96" w:rsidRDefault="00EF7A96" w:rsidP="00A23DD4">
      <w:pPr>
        <w:tabs>
          <w:tab w:val="right" w:pos="9498"/>
        </w:tabs>
        <w:spacing w:after="0" w:line="240" w:lineRule="auto"/>
        <w:ind w:left="-142"/>
        <w:jc w:val="both"/>
        <w:rPr>
          <w:b/>
          <w:bCs/>
          <w:noProof/>
        </w:rPr>
      </w:pPr>
      <w:r w:rsidRPr="003E20FF">
        <w:rPr>
          <w:b/>
          <w:bCs/>
          <w:noProof/>
        </w:rPr>
        <w:t xml:space="preserve">    </w:t>
      </w:r>
      <w:r w:rsidR="00A23DD4">
        <w:rPr>
          <w:noProof/>
        </w:rPr>
        <w:drawing>
          <wp:inline distT="0" distB="0" distL="0" distR="0" wp14:anchorId="7084398B" wp14:editId="622D886B">
            <wp:extent cx="595245" cy="579755"/>
            <wp:effectExtent l="0" t="0" r="0" b="0"/>
            <wp:docPr id="2" name="Picture 2" descr="NCL-Logo - OCHASK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L-Logo - OCHASKI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5" cy="5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DD4">
        <w:rPr>
          <w:b/>
          <w:bCs/>
          <w:noProof/>
        </w:rPr>
        <w:t xml:space="preserve">                                                                                                                                              </w:t>
      </w:r>
      <w:r w:rsidR="00A23DD4">
        <w:rPr>
          <w:noProof/>
        </w:rPr>
        <w:drawing>
          <wp:inline distT="0" distB="0" distL="0" distR="0" wp14:anchorId="788A2E9A" wp14:editId="77D903D4">
            <wp:extent cx="857250" cy="676275"/>
            <wp:effectExtent l="0" t="0" r="0" b="9525"/>
            <wp:docPr id="1" name="Picture 10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968E" w14:textId="2F367C90" w:rsidR="00A23DD4" w:rsidRPr="00BC3D66" w:rsidRDefault="00A23DD4" w:rsidP="00A23DD4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sz w:val="38"/>
          <w:szCs w:val="38"/>
        </w:rPr>
      </w:pPr>
      <w:r w:rsidRPr="00BC3D66">
        <w:rPr>
          <w:b/>
          <w:sz w:val="38"/>
          <w:szCs w:val="38"/>
        </w:rPr>
        <w:t>Applicati</w:t>
      </w:r>
      <w:r w:rsidR="00BC3D66">
        <w:rPr>
          <w:b/>
          <w:sz w:val="38"/>
          <w:szCs w:val="38"/>
        </w:rPr>
        <w:t>o</w:t>
      </w:r>
      <w:r w:rsidRPr="00BC3D66">
        <w:rPr>
          <w:b/>
          <w:sz w:val="38"/>
          <w:szCs w:val="38"/>
        </w:rPr>
        <w:t>n Form</w:t>
      </w:r>
    </w:p>
    <w:p w14:paraId="53B51DEF" w14:textId="5C3DFC82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the 202</w:t>
      </w:r>
      <w:r w:rsidR="005278B6">
        <w:rPr>
          <w:b/>
        </w:rPr>
        <w:t>4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Pr="007C556B">
        <w:rPr>
          <w:b/>
        </w:rPr>
        <w:t xml:space="preserve"> Program</w:t>
      </w:r>
      <w:r w:rsidR="009A436D">
        <w:rPr>
          <w:b/>
        </w:rPr>
        <w:t xml:space="preserve"> </w:t>
      </w:r>
      <w:r w:rsidR="009B5F62">
        <w:rPr>
          <w:b/>
        </w:rPr>
        <w:t>5</w:t>
      </w:r>
      <w:r w:rsidR="00530296">
        <w:rPr>
          <w:b/>
        </w:rPr>
        <w:t xml:space="preserve">9 </w:t>
      </w:r>
      <w:r w:rsidR="009B5F62">
        <w:rPr>
          <w:b/>
        </w:rPr>
        <w:t xml:space="preserve">commencing </w:t>
      </w:r>
      <w:r w:rsidR="00530296">
        <w:rPr>
          <w:b/>
        </w:rPr>
        <w:t>23 October 2024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40BBE425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r w:rsidR="00A02CBE">
        <w:rPr>
          <w:sz w:val="21"/>
          <w:szCs w:val="21"/>
        </w:rPr>
        <w:t xml:space="preserve">the </w:t>
      </w:r>
      <w:r w:rsidR="009A436D">
        <w:rPr>
          <w:sz w:val="21"/>
          <w:szCs w:val="21"/>
        </w:rPr>
        <w:t>202</w:t>
      </w:r>
      <w:r w:rsidR="005278B6">
        <w:rPr>
          <w:sz w:val="21"/>
          <w:szCs w:val="21"/>
        </w:rPr>
        <w:t>4</w:t>
      </w:r>
      <w:r w:rsidR="009A436D">
        <w:rPr>
          <w:sz w:val="21"/>
          <w:szCs w:val="21"/>
        </w:rPr>
        <w:t xml:space="preserve"> “</w:t>
      </w:r>
      <w:r w:rsidR="00495891">
        <w:rPr>
          <w:sz w:val="21"/>
          <w:szCs w:val="21"/>
        </w:rPr>
        <w:t>TIME</w:t>
      </w:r>
      <w:r w:rsidR="009A436D">
        <w:rPr>
          <w:sz w:val="21"/>
          <w:szCs w:val="21"/>
        </w:rPr>
        <w:t xml:space="preserve"> </w:t>
      </w:r>
      <w:r w:rsidR="00C13680">
        <w:rPr>
          <w:sz w:val="21"/>
          <w:szCs w:val="21"/>
        </w:rPr>
        <w:t xml:space="preserve">NCL </w:t>
      </w:r>
      <w:r w:rsidR="009A436D">
        <w:rPr>
          <w:sz w:val="21"/>
          <w:szCs w:val="21"/>
        </w:rPr>
        <w:t>Scholarship “the</w:t>
      </w:r>
      <w:r w:rsidR="004136A0">
        <w:rPr>
          <w:sz w:val="21"/>
          <w:szCs w:val="21"/>
        </w:rPr>
        <w:t xml:space="preserve"> </w:t>
      </w:r>
      <w:r w:rsidR="00CC617D">
        <w:rPr>
          <w:sz w:val="21"/>
          <w:szCs w:val="21"/>
        </w:rPr>
        <w:t>funding of</w:t>
      </w:r>
      <w:r w:rsidR="004136A0">
        <w:rPr>
          <w:sz w:val="21"/>
          <w:szCs w:val="21"/>
        </w:rPr>
        <w:t xml:space="preserve"> </w:t>
      </w:r>
      <w:r w:rsidR="00557935">
        <w:rPr>
          <w:sz w:val="21"/>
          <w:szCs w:val="21"/>
        </w:rPr>
        <w:t>your Program</w:t>
      </w:r>
      <w:r w:rsidR="004136A0">
        <w:rPr>
          <w:sz w:val="21"/>
          <w:szCs w:val="21"/>
        </w:rPr>
        <w:t xml:space="preserve"> Fee will be</w:t>
      </w:r>
      <w:r w:rsidR="00A67C37">
        <w:rPr>
          <w:sz w:val="21"/>
          <w:szCs w:val="21"/>
        </w:rPr>
        <w:t xml:space="preserve"> </w:t>
      </w:r>
      <w:r w:rsidR="003C0E6E">
        <w:rPr>
          <w:sz w:val="21"/>
          <w:szCs w:val="21"/>
        </w:rPr>
        <w:t>totally covered</w:t>
      </w:r>
      <w:r w:rsidRPr="00BC0FE0">
        <w:rPr>
          <w:sz w:val="21"/>
          <w:szCs w:val="21"/>
        </w:rPr>
        <w:t>.</w:t>
      </w:r>
    </w:p>
    <w:p w14:paraId="5ACF149E" w14:textId="7F6EF705" w:rsidR="000A22AB" w:rsidRPr="00EA097F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</w:t>
      </w:r>
      <w:r w:rsidR="00597877">
        <w:rPr>
          <w:b/>
          <w:sz w:val="21"/>
          <w:szCs w:val="21"/>
          <w:u w:val="single"/>
        </w:rPr>
        <w:t xml:space="preserve"> Mentee</w:t>
      </w:r>
      <w:r w:rsidRPr="005E59D6">
        <w:rPr>
          <w:b/>
          <w:sz w:val="21"/>
          <w:szCs w:val="21"/>
          <w:u w:val="single"/>
        </w:rPr>
        <w:t xml:space="preserve">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9A436D">
        <w:rPr>
          <w:b/>
          <w:sz w:val="21"/>
          <w:szCs w:val="21"/>
          <w:u w:val="single"/>
        </w:rPr>
        <w:t>completed online</w:t>
      </w:r>
      <w:r w:rsidR="003E20FF">
        <w:rPr>
          <w:b/>
          <w:sz w:val="21"/>
          <w:szCs w:val="21"/>
          <w:u w:val="single"/>
        </w:rPr>
        <w:t xml:space="preserve"> and submitted 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r w:rsidR="003E20FF" w:rsidRPr="003E20FF">
        <w:rPr>
          <w:b/>
          <w:color w:val="00B0F0"/>
          <w:sz w:val="21"/>
          <w:szCs w:val="21"/>
          <w:u w:val="single"/>
        </w:rPr>
        <w:t>https://www.travelindustrymentor.com.au/become-a-mentee/</w:t>
      </w:r>
    </w:p>
    <w:p w14:paraId="5556D042" w14:textId="36B8204E" w:rsidR="00CA5F8F" w:rsidRPr="0006457C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06457C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06457C">
        <w:rPr>
          <w:b/>
          <w:bCs/>
          <w:sz w:val="21"/>
          <w:szCs w:val="21"/>
          <w:u w:val="single"/>
        </w:rPr>
        <w:t xml:space="preserve">the </w:t>
      </w:r>
      <w:r w:rsidR="00756CB5">
        <w:rPr>
          <w:b/>
          <w:bCs/>
          <w:sz w:val="21"/>
          <w:szCs w:val="21"/>
          <w:u w:val="single"/>
        </w:rPr>
        <w:t xml:space="preserve">2024 </w:t>
      </w:r>
      <w:r w:rsidR="00495891" w:rsidRPr="0006457C">
        <w:rPr>
          <w:b/>
          <w:bCs/>
          <w:sz w:val="21"/>
          <w:szCs w:val="21"/>
          <w:u w:val="single"/>
        </w:rPr>
        <w:t>“</w:t>
      </w:r>
      <w:r w:rsidRPr="0006457C">
        <w:rPr>
          <w:b/>
          <w:bCs/>
          <w:sz w:val="21"/>
          <w:szCs w:val="21"/>
          <w:u w:val="single"/>
        </w:rPr>
        <w:t>TIME</w:t>
      </w:r>
      <w:r w:rsidR="00495891" w:rsidRPr="0006457C">
        <w:rPr>
          <w:b/>
          <w:bCs/>
          <w:sz w:val="21"/>
          <w:szCs w:val="21"/>
          <w:u w:val="single"/>
        </w:rPr>
        <w:t xml:space="preserve"> </w:t>
      </w:r>
      <w:r w:rsidR="00AB2ECF">
        <w:rPr>
          <w:b/>
          <w:bCs/>
          <w:sz w:val="21"/>
          <w:szCs w:val="21"/>
          <w:u w:val="single"/>
        </w:rPr>
        <w:t xml:space="preserve">NCL </w:t>
      </w:r>
      <w:r w:rsidRPr="0006457C">
        <w:rPr>
          <w:b/>
          <w:bCs/>
          <w:sz w:val="21"/>
          <w:szCs w:val="21"/>
          <w:u w:val="single"/>
        </w:rPr>
        <w:t>Scholarship</w:t>
      </w:r>
      <w:r w:rsidR="009A436D">
        <w:rPr>
          <w:b/>
          <w:bCs/>
          <w:sz w:val="21"/>
          <w:szCs w:val="21"/>
          <w:u w:val="single"/>
        </w:rPr>
        <w:t>”</w:t>
      </w:r>
    </w:p>
    <w:p w14:paraId="7E804C2A" w14:textId="220C7152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r w:rsidR="009A436D" w:rsidRPr="00BC0FE0">
        <w:rPr>
          <w:sz w:val="21"/>
          <w:szCs w:val="21"/>
        </w:rPr>
        <w:t>finalist,</w:t>
      </w:r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71AB41F8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9A436D" w:rsidRPr="00BC0FE0">
        <w:rPr>
          <w:sz w:val="21"/>
          <w:szCs w:val="21"/>
        </w:rPr>
        <w:t>years’ ex</w:t>
      </w:r>
      <w:r w:rsidR="009A436D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5C8087A5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9A436D" w:rsidRPr="00305D2A">
        <w:rPr>
          <w:sz w:val="21"/>
          <w:szCs w:val="21"/>
        </w:rPr>
        <w:t>your 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3FA2233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9A436D" w:rsidRPr="00305D2A">
        <w:rPr>
          <w:sz w:val="21"/>
          <w:szCs w:val="21"/>
        </w:rPr>
        <w:t>Is your Business</w:t>
      </w:r>
      <w:r w:rsidRPr="00305D2A">
        <w:rPr>
          <w:sz w:val="21"/>
          <w:szCs w:val="21"/>
        </w:rPr>
        <w:t xml:space="preserve"> ATAS Accredited  </w:t>
      </w:r>
      <w:r w:rsidR="009A436D">
        <w:rPr>
          <w:sz w:val="21"/>
          <w:szCs w:val="21"/>
        </w:rPr>
        <w:t xml:space="preserve">   </w:t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7B70F177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>your 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5C48B887" w14:textId="5EF6CE01" w:rsidR="00EF7A96" w:rsidRDefault="00EF7A96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1B09E96D" w14:textId="7AE5BB13" w:rsidR="003E20FF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1692B980" w14:textId="77777777" w:rsidR="00EA097F" w:rsidRDefault="00EA097F" w:rsidP="002D13E7">
      <w:pPr>
        <w:spacing w:after="0"/>
        <w:rPr>
          <w:b/>
          <w:color w:val="FF0000"/>
          <w:sz w:val="21"/>
          <w:szCs w:val="21"/>
          <w:u w:val="single"/>
        </w:rPr>
      </w:pPr>
    </w:p>
    <w:p w14:paraId="03301AE1" w14:textId="158058BD" w:rsidR="002D13E7" w:rsidRPr="00EA097F" w:rsidRDefault="002D13E7" w:rsidP="00884634">
      <w:pPr>
        <w:spacing w:after="0"/>
        <w:rPr>
          <w:b/>
          <w:color w:val="FF0000"/>
          <w:sz w:val="21"/>
          <w:szCs w:val="21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</w:t>
      </w:r>
      <w:r w:rsidRPr="002D13E7">
        <w:rPr>
          <w:b/>
          <w:color w:val="FF0000"/>
          <w:sz w:val="21"/>
          <w:szCs w:val="21"/>
        </w:rPr>
        <w:t>If for any reason the successful applicant is unable to complete the 6-month Program in the time allocated for Program</w:t>
      </w:r>
      <w:r w:rsidR="00A1533F">
        <w:rPr>
          <w:b/>
          <w:color w:val="FF0000"/>
          <w:sz w:val="21"/>
          <w:szCs w:val="21"/>
        </w:rPr>
        <w:t xml:space="preserve"> 5</w:t>
      </w:r>
      <w:r w:rsidR="002F5922">
        <w:rPr>
          <w:b/>
          <w:color w:val="FF0000"/>
          <w:sz w:val="21"/>
          <w:szCs w:val="21"/>
        </w:rPr>
        <w:t>9</w:t>
      </w:r>
      <w:r w:rsidRPr="002D13E7">
        <w:rPr>
          <w:b/>
          <w:color w:val="FF0000"/>
          <w:sz w:val="21"/>
          <w:szCs w:val="21"/>
        </w:rPr>
        <w:t xml:space="preserve"> – The recipient of the scholarship cannot transfer to any other Program and therefore the scholarship will be </w:t>
      </w:r>
      <w:r w:rsidR="00452A71" w:rsidRPr="002D13E7">
        <w:rPr>
          <w:b/>
          <w:color w:val="FF0000"/>
          <w:sz w:val="21"/>
          <w:szCs w:val="21"/>
        </w:rPr>
        <w:t>forfeited.</w:t>
      </w:r>
    </w:p>
    <w:p w14:paraId="4A34A87A" w14:textId="5D601561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</w:t>
      </w:r>
      <w:r w:rsidR="00680BFD">
        <w:rPr>
          <w:sz w:val="27"/>
          <w:szCs w:val="27"/>
        </w:rPr>
        <w:t xml:space="preserve"> 202</w:t>
      </w:r>
      <w:r w:rsidR="00756CB5">
        <w:rPr>
          <w:sz w:val="27"/>
          <w:szCs w:val="27"/>
        </w:rPr>
        <w:t>4</w:t>
      </w:r>
      <w:r w:rsidR="00BE39FE">
        <w:rPr>
          <w:sz w:val="27"/>
          <w:szCs w:val="27"/>
        </w:rPr>
        <w:t xml:space="preserve"> </w:t>
      </w:r>
      <w:r w:rsidR="00680BFD">
        <w:rPr>
          <w:sz w:val="27"/>
          <w:szCs w:val="27"/>
        </w:rPr>
        <w:t xml:space="preserve"> </w:t>
      </w:r>
      <w:r w:rsidR="0019791C">
        <w:rPr>
          <w:sz w:val="27"/>
          <w:szCs w:val="27"/>
        </w:rPr>
        <w:t xml:space="preserve">“TIME </w:t>
      </w:r>
      <w:r w:rsidR="00BE39FE">
        <w:rPr>
          <w:sz w:val="27"/>
          <w:szCs w:val="27"/>
        </w:rPr>
        <w:t xml:space="preserve"> NCL </w:t>
      </w:r>
      <w:r w:rsidRPr="00CA5F8F">
        <w:rPr>
          <w:sz w:val="27"/>
          <w:szCs w:val="27"/>
        </w:rPr>
        <w:t>Scholarship</w:t>
      </w:r>
      <w:r w:rsidR="00680BFD">
        <w:rPr>
          <w:sz w:val="27"/>
          <w:szCs w:val="27"/>
        </w:rPr>
        <w:t>”</w:t>
      </w:r>
      <w:r w:rsidRPr="00CA5F8F">
        <w:rPr>
          <w:sz w:val="27"/>
          <w:szCs w:val="27"/>
        </w:rPr>
        <w:t xml:space="preserve"> Submission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61302211" w14:textId="6D576A3F" w:rsidR="00CA5F8F" w:rsidRPr="009E49AE" w:rsidRDefault="00CA5F8F" w:rsidP="005E59D6">
      <w:pPr>
        <w:pStyle w:val="bullies"/>
        <w:spacing w:after="0" w:line="240" w:lineRule="auto"/>
        <w:rPr>
          <w:b/>
          <w:bCs/>
        </w:rPr>
      </w:pPr>
      <w:r w:rsidRPr="009E49AE">
        <w:rPr>
          <w:b/>
          <w:bCs/>
        </w:rPr>
        <w:t xml:space="preserve">The scholarship is </w:t>
      </w:r>
      <w:r w:rsidR="001856F3" w:rsidRPr="009E49AE">
        <w:rPr>
          <w:b/>
          <w:bCs/>
        </w:rPr>
        <w:t xml:space="preserve">targeted </w:t>
      </w:r>
      <w:r w:rsidR="004B3673" w:rsidRPr="009E49AE">
        <w:rPr>
          <w:b/>
          <w:bCs/>
        </w:rPr>
        <w:t>at Owner Managers, Product Specialists, Managers or Senior Consultants of the Australian Travel Industry</w:t>
      </w:r>
      <w:r w:rsidR="009E49AE" w:rsidRPr="009E49AE">
        <w:rPr>
          <w:b/>
          <w:bCs/>
        </w:rPr>
        <w:t xml:space="preserve"> </w:t>
      </w:r>
      <w:r w:rsidRPr="009E49AE">
        <w:rPr>
          <w:b/>
          <w:bCs/>
        </w:rPr>
        <w:t>(providing they meet the criteria)</w:t>
      </w:r>
    </w:p>
    <w:p w14:paraId="1B3DB68C" w14:textId="77777777" w:rsidR="005E59D6" w:rsidRPr="00A02CBE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5CAF11F2" w14:textId="2CEB4F3E" w:rsidR="002E26C6" w:rsidRPr="002E26C6" w:rsidRDefault="002E26C6" w:rsidP="002E26C6">
      <w:pPr>
        <w:pStyle w:val="bullies"/>
        <w:spacing w:after="0" w:line="240" w:lineRule="auto"/>
        <w:ind w:left="426" w:hanging="360"/>
        <w:rPr>
          <w:rFonts w:eastAsia="Times New Roman"/>
        </w:rPr>
      </w:pPr>
      <w:bookmarkStart w:id="0" w:name="_Hlk47342223"/>
      <w:r w:rsidRPr="002E26C6">
        <w:t xml:space="preserve">The </w:t>
      </w:r>
      <w:r w:rsidR="009A436D" w:rsidRPr="002E26C6">
        <w:t>aim is</w:t>
      </w:r>
      <w:r w:rsidRPr="002E26C6">
        <w:t xml:space="preserve"> to </w:t>
      </w:r>
      <w:r w:rsidR="009A436D" w:rsidRPr="002E26C6">
        <w:t>provide an</w:t>
      </w:r>
      <w:r w:rsidRPr="002E26C6">
        <w:t xml:space="preserve">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>Travel industry’s best and brightest to imagine the career of their dreams and pursue them by providing direction, wisdom and experience from a seasoned industry Mentor.</w:t>
      </w:r>
    </w:p>
    <w:bookmarkEnd w:id="0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7AB4FF65" w:rsidR="00CA5F8F" w:rsidRDefault="009A436D" w:rsidP="005E59D6">
      <w:pPr>
        <w:pStyle w:val="bullies"/>
        <w:spacing w:after="0" w:line="240" w:lineRule="auto"/>
      </w:pPr>
      <w:r w:rsidRPr="00436339">
        <w:t>One</w:t>
      </w:r>
      <w:r w:rsidR="00163DFD">
        <w:t xml:space="preserve"> 2024</w:t>
      </w:r>
      <w:r w:rsidRPr="00436339">
        <w:t xml:space="preserve"> </w:t>
      </w:r>
      <w:r>
        <w:t>“</w:t>
      </w:r>
      <w:r w:rsidR="004C5615" w:rsidRPr="004C5615">
        <w:rPr>
          <w:b/>
          <w:bCs/>
        </w:rPr>
        <w:t xml:space="preserve">TIME </w:t>
      </w:r>
      <w:r w:rsidR="00C13680">
        <w:rPr>
          <w:b/>
          <w:bCs/>
        </w:rPr>
        <w:t xml:space="preserve">NCL </w:t>
      </w:r>
      <w:r w:rsidR="00AF5EDC" w:rsidRPr="00436339">
        <w:t xml:space="preserve">Scholarship </w:t>
      </w:r>
      <w:r>
        <w:t>“</w:t>
      </w:r>
      <w:r w:rsidR="00AF5EDC" w:rsidRPr="00436339"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58D01DE8" w:rsidR="00B07A73" w:rsidRDefault="00B07A73" w:rsidP="005E59D6">
      <w:pPr>
        <w:pStyle w:val="bullies"/>
        <w:spacing w:after="0" w:line="240" w:lineRule="auto"/>
        <w:rPr>
          <w:b/>
        </w:rPr>
      </w:pPr>
      <w:r w:rsidRPr="00B07A73">
        <w:rPr>
          <w:b/>
        </w:rPr>
        <w:t xml:space="preserve">Applications close  </w:t>
      </w:r>
      <w:r w:rsidR="004136A0">
        <w:rPr>
          <w:b/>
        </w:rPr>
        <w:t xml:space="preserve">one month prior to Induction Date </w:t>
      </w:r>
    </w:p>
    <w:p w14:paraId="2A73FF5A" w14:textId="0B78EB42" w:rsidR="004136A0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r w:rsidR="009A436D" w:rsidRPr="00EF7A96">
        <w:rPr>
          <w:b/>
          <w:color w:val="FF0000"/>
        </w:rPr>
        <w:t>Date</w:t>
      </w:r>
      <w:r w:rsidR="00AC3FF6">
        <w:rPr>
          <w:b/>
          <w:color w:val="FF0000"/>
        </w:rPr>
        <w:t xml:space="preserve">: </w:t>
      </w:r>
      <w:r w:rsidR="009A436D" w:rsidRPr="00EF7A96">
        <w:rPr>
          <w:b/>
          <w:color w:val="FF0000"/>
        </w:rPr>
        <w:t xml:space="preserve"> </w:t>
      </w:r>
      <w:r w:rsidR="00530296">
        <w:rPr>
          <w:b/>
          <w:color w:val="FF0000"/>
        </w:rPr>
        <w:t xml:space="preserve">23 October </w:t>
      </w:r>
      <w:r w:rsidR="00F14BD7">
        <w:rPr>
          <w:b/>
          <w:color w:val="FF0000"/>
        </w:rPr>
        <w:t>2024</w:t>
      </w:r>
      <w:r w:rsidR="00163DFD">
        <w:rPr>
          <w:b/>
          <w:color w:val="FF0000"/>
        </w:rPr>
        <w:t xml:space="preserve"> </w:t>
      </w:r>
      <w:r w:rsidR="00A1533F">
        <w:rPr>
          <w:b/>
          <w:color w:val="FF0000"/>
        </w:rPr>
        <w:t>.</w:t>
      </w:r>
      <w:r w:rsidR="00680BFD">
        <w:rPr>
          <w:b/>
          <w:color w:val="FF0000"/>
        </w:rPr>
        <w:t xml:space="preserve"> </w:t>
      </w:r>
      <w:r w:rsidR="00680BFD">
        <w:rPr>
          <w:b/>
          <w:color w:val="FF0000"/>
        </w:rPr>
        <w:tab/>
      </w:r>
      <w:r w:rsidRPr="00EF7A96">
        <w:rPr>
          <w:b/>
          <w:color w:val="FF0000"/>
        </w:rPr>
        <w:tab/>
        <w:t>Entries Close</w:t>
      </w:r>
      <w:r w:rsidR="00CC617D">
        <w:rPr>
          <w:b/>
          <w:color w:val="FF0000"/>
        </w:rPr>
        <w:t>:</w:t>
      </w:r>
      <w:r w:rsidRPr="00EF7A96">
        <w:rPr>
          <w:b/>
          <w:color w:val="FF0000"/>
        </w:rPr>
        <w:t xml:space="preserve">  </w:t>
      </w:r>
      <w:r w:rsidR="00530296">
        <w:rPr>
          <w:b/>
          <w:color w:val="FF0000"/>
        </w:rPr>
        <w:t>20 September 2024</w:t>
      </w:r>
    </w:p>
    <w:p w14:paraId="1DB80AB9" w14:textId="77777777" w:rsidR="00530296" w:rsidRPr="00B07A73" w:rsidRDefault="0053029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1A0DD989" w:rsidR="00CA5F8F" w:rsidRDefault="00CA5F8F" w:rsidP="005E59D6">
      <w:pPr>
        <w:pStyle w:val="bullies"/>
        <w:spacing w:after="0" w:line="240" w:lineRule="auto"/>
      </w:pPr>
      <w:r w:rsidRPr="00EC502F">
        <w:t xml:space="preserve">All finalists will be advised by </w:t>
      </w:r>
      <w:r w:rsidR="009A436D" w:rsidRPr="00EC502F">
        <w:t>TIME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2A5F4F31" w:rsidR="005E61AD" w:rsidRDefault="00CA5F8F" w:rsidP="005E59D6">
      <w:pPr>
        <w:pStyle w:val="bullies"/>
        <w:spacing w:after="0" w:line="240" w:lineRule="auto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7981BB8A" w:rsidR="00495891" w:rsidRDefault="00CA5F8F" w:rsidP="00495891">
      <w:pPr>
        <w:pStyle w:val="bullies"/>
        <w:spacing w:after="0" w:line="240" w:lineRule="auto"/>
      </w:pPr>
      <w:bookmarkStart w:id="1" w:name="_Hlk44930861"/>
      <w:r w:rsidRPr="00436339">
        <w:t xml:space="preserve">Successful Applicants from Intrastate NSW or Interstate </w:t>
      </w:r>
      <w:r w:rsidR="009A436D" w:rsidRPr="00436339">
        <w:t xml:space="preserve">will </w:t>
      </w:r>
      <w:r w:rsidR="009A436D">
        <w:t xml:space="preserve">be </w:t>
      </w:r>
      <w:r w:rsidR="009A436D" w:rsidRPr="00436339">
        <w:t>interviewed</w:t>
      </w:r>
      <w:r w:rsidRPr="00436339">
        <w:t xml:space="preserve"> by</w:t>
      </w:r>
      <w:r w:rsidR="00495891">
        <w:t>:</w:t>
      </w:r>
    </w:p>
    <w:p w14:paraId="70C26044" w14:textId="37942C0A" w:rsidR="00495891" w:rsidRDefault="0072777C" w:rsidP="00495891">
      <w:pPr>
        <w:pStyle w:val="bullies"/>
        <w:numPr>
          <w:ilvl w:val="0"/>
          <w:numId w:val="3"/>
        </w:numPr>
        <w:spacing w:after="0" w:line="240" w:lineRule="auto"/>
      </w:pPr>
      <w:r>
        <w:t>Teams/</w:t>
      </w:r>
      <w:r w:rsidR="00EE4924">
        <w:t xml:space="preserve">Zoom or other </w:t>
      </w:r>
      <w:r w:rsidR="00F1679E">
        <w:t>platforms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1EC43FC9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9A436D">
        <w:t>face-to-face</w:t>
      </w:r>
      <w:r w:rsidR="00EE4924">
        <w:t xml:space="preserve"> </w:t>
      </w:r>
      <w:r w:rsidR="009A436D">
        <w:t xml:space="preserve">interview </w:t>
      </w:r>
      <w:r w:rsidR="009A436D" w:rsidRPr="00436339">
        <w:t>in</w:t>
      </w:r>
      <w:r w:rsidR="00CA5F8F" w:rsidRPr="00436339">
        <w:t xml:space="preserve"> </w:t>
      </w:r>
      <w:r w:rsidR="009A436D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1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61EFAD92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0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89A87CC" w14:textId="2B584D4A" w:rsidR="007C556B" w:rsidRDefault="007C556B" w:rsidP="003A3A58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7599E1DA" w14:textId="2B7A5D76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Limited  ABN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>P O Box 220 Frenchs Forest  NSW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3C0E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BB15B" w14:textId="77777777" w:rsidR="00A50266" w:rsidRDefault="00A50266" w:rsidP="00884634">
      <w:pPr>
        <w:spacing w:after="0" w:line="240" w:lineRule="auto"/>
      </w:pPr>
      <w:r>
        <w:separator/>
      </w:r>
    </w:p>
  </w:endnote>
  <w:endnote w:type="continuationSeparator" w:id="0">
    <w:p w14:paraId="356F671D" w14:textId="77777777" w:rsidR="00A50266" w:rsidRDefault="00A50266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A9A1" w14:textId="77777777" w:rsidR="00A50266" w:rsidRDefault="00A50266" w:rsidP="00884634">
      <w:pPr>
        <w:spacing w:after="0" w:line="240" w:lineRule="auto"/>
      </w:pPr>
      <w:r>
        <w:separator/>
      </w:r>
    </w:p>
  </w:footnote>
  <w:footnote w:type="continuationSeparator" w:id="0">
    <w:p w14:paraId="1999AD21" w14:textId="77777777" w:rsidR="00A50266" w:rsidRDefault="00A50266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C358" w14:textId="47C2172C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68209">
    <w:abstractNumId w:val="2"/>
  </w:num>
  <w:num w:numId="2" w16cid:durableId="284702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14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14C02"/>
    <w:rsid w:val="00060800"/>
    <w:rsid w:val="0006457C"/>
    <w:rsid w:val="00091D23"/>
    <w:rsid w:val="000A22AB"/>
    <w:rsid w:val="000D3C5E"/>
    <w:rsid w:val="00122AAE"/>
    <w:rsid w:val="00126B6C"/>
    <w:rsid w:val="00126BA4"/>
    <w:rsid w:val="0015422D"/>
    <w:rsid w:val="00163B34"/>
    <w:rsid w:val="00163DFD"/>
    <w:rsid w:val="00177964"/>
    <w:rsid w:val="001856F3"/>
    <w:rsid w:val="0019791C"/>
    <w:rsid w:val="001A4742"/>
    <w:rsid w:val="001E095F"/>
    <w:rsid w:val="00224F36"/>
    <w:rsid w:val="00235BF1"/>
    <w:rsid w:val="00242740"/>
    <w:rsid w:val="00246D63"/>
    <w:rsid w:val="00247232"/>
    <w:rsid w:val="002651B7"/>
    <w:rsid w:val="002D13E7"/>
    <w:rsid w:val="002E26C6"/>
    <w:rsid w:val="002E5D00"/>
    <w:rsid w:val="002E6B1E"/>
    <w:rsid w:val="002F5922"/>
    <w:rsid w:val="00322F6D"/>
    <w:rsid w:val="003568BB"/>
    <w:rsid w:val="00374660"/>
    <w:rsid w:val="003A3A58"/>
    <w:rsid w:val="003C0E6E"/>
    <w:rsid w:val="003E20FF"/>
    <w:rsid w:val="003E63F9"/>
    <w:rsid w:val="00411DB8"/>
    <w:rsid w:val="004136A0"/>
    <w:rsid w:val="00416DB4"/>
    <w:rsid w:val="00436339"/>
    <w:rsid w:val="0044754F"/>
    <w:rsid w:val="00452A71"/>
    <w:rsid w:val="00474D85"/>
    <w:rsid w:val="00495891"/>
    <w:rsid w:val="004B11FE"/>
    <w:rsid w:val="004B3673"/>
    <w:rsid w:val="004C5615"/>
    <w:rsid w:val="004D5DA4"/>
    <w:rsid w:val="004E53D4"/>
    <w:rsid w:val="005278B6"/>
    <w:rsid w:val="00530296"/>
    <w:rsid w:val="005404C8"/>
    <w:rsid w:val="00557935"/>
    <w:rsid w:val="0056124F"/>
    <w:rsid w:val="0058261F"/>
    <w:rsid w:val="00582979"/>
    <w:rsid w:val="00597877"/>
    <w:rsid w:val="005C3CB7"/>
    <w:rsid w:val="005E59D6"/>
    <w:rsid w:val="005E61AD"/>
    <w:rsid w:val="006807F8"/>
    <w:rsid w:val="00680BFD"/>
    <w:rsid w:val="006D29ED"/>
    <w:rsid w:val="006E1C03"/>
    <w:rsid w:val="006F0EE8"/>
    <w:rsid w:val="00701E8C"/>
    <w:rsid w:val="00706B20"/>
    <w:rsid w:val="0072777C"/>
    <w:rsid w:val="00737D9F"/>
    <w:rsid w:val="00756CB5"/>
    <w:rsid w:val="0076504E"/>
    <w:rsid w:val="00770DB2"/>
    <w:rsid w:val="00770DC8"/>
    <w:rsid w:val="007B297C"/>
    <w:rsid w:val="007C556B"/>
    <w:rsid w:val="007D1C53"/>
    <w:rsid w:val="00884634"/>
    <w:rsid w:val="008D7576"/>
    <w:rsid w:val="00963CFC"/>
    <w:rsid w:val="00997D0C"/>
    <w:rsid w:val="009A436D"/>
    <w:rsid w:val="009B085C"/>
    <w:rsid w:val="009B5F62"/>
    <w:rsid w:val="009E49AE"/>
    <w:rsid w:val="00A02CBE"/>
    <w:rsid w:val="00A1533F"/>
    <w:rsid w:val="00A202A8"/>
    <w:rsid w:val="00A23DD4"/>
    <w:rsid w:val="00A4669E"/>
    <w:rsid w:val="00A50266"/>
    <w:rsid w:val="00A60D6E"/>
    <w:rsid w:val="00A67C37"/>
    <w:rsid w:val="00AB2ECF"/>
    <w:rsid w:val="00AB60E0"/>
    <w:rsid w:val="00AC3FF6"/>
    <w:rsid w:val="00AF5EDC"/>
    <w:rsid w:val="00B07A73"/>
    <w:rsid w:val="00B152C9"/>
    <w:rsid w:val="00B50B13"/>
    <w:rsid w:val="00BA09DF"/>
    <w:rsid w:val="00BB5C7F"/>
    <w:rsid w:val="00BC1890"/>
    <w:rsid w:val="00BC3BBD"/>
    <w:rsid w:val="00BC3D66"/>
    <w:rsid w:val="00BC725A"/>
    <w:rsid w:val="00BD4408"/>
    <w:rsid w:val="00BE39FE"/>
    <w:rsid w:val="00BE6622"/>
    <w:rsid w:val="00C10B50"/>
    <w:rsid w:val="00C12B46"/>
    <w:rsid w:val="00C13680"/>
    <w:rsid w:val="00C35AC7"/>
    <w:rsid w:val="00C5697B"/>
    <w:rsid w:val="00C65F6F"/>
    <w:rsid w:val="00C939FD"/>
    <w:rsid w:val="00CA5F8F"/>
    <w:rsid w:val="00CB00BA"/>
    <w:rsid w:val="00CC617D"/>
    <w:rsid w:val="00CD394F"/>
    <w:rsid w:val="00D05DFA"/>
    <w:rsid w:val="00D51469"/>
    <w:rsid w:val="00D526A1"/>
    <w:rsid w:val="00D627B5"/>
    <w:rsid w:val="00D83755"/>
    <w:rsid w:val="00D862B0"/>
    <w:rsid w:val="00DC3B94"/>
    <w:rsid w:val="00DC7FD9"/>
    <w:rsid w:val="00E2259A"/>
    <w:rsid w:val="00E451FE"/>
    <w:rsid w:val="00E45B8E"/>
    <w:rsid w:val="00E647CE"/>
    <w:rsid w:val="00E6526F"/>
    <w:rsid w:val="00E673CD"/>
    <w:rsid w:val="00E91236"/>
    <w:rsid w:val="00EA097F"/>
    <w:rsid w:val="00EE4924"/>
    <w:rsid w:val="00EF7A96"/>
    <w:rsid w:val="00F14BD7"/>
    <w:rsid w:val="00F1679E"/>
    <w:rsid w:val="00FB456B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ravelindustrymentor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TIME</cp:lastModifiedBy>
  <cp:revision>3</cp:revision>
  <cp:lastPrinted>2023-12-18T01:56:00Z</cp:lastPrinted>
  <dcterms:created xsi:type="dcterms:W3CDTF">2024-08-06T00:39:00Z</dcterms:created>
  <dcterms:modified xsi:type="dcterms:W3CDTF">2024-08-08T04:21:00Z</dcterms:modified>
</cp:coreProperties>
</file>